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630"/>
          <w:tab w:val="right" w:leader="dot" w:pos="8608"/>
        </w:tabs>
        <w:ind w:firstLine="416" w:firstLineChars="148"/>
        <w:rPr>
          <w:rFonts w:ascii="宋体" w:hAnsi="宋体"/>
          <w:b/>
          <w:sz w:val="28"/>
          <w:szCs w:val="28"/>
        </w:rPr>
      </w:pPr>
    </w:p>
    <w:p>
      <w:pPr>
        <w:pStyle w:val="11"/>
        <w:tabs>
          <w:tab w:val="left" w:pos="630"/>
          <w:tab w:val="right" w:leader="dot" w:pos="8608"/>
        </w:tabs>
        <w:ind w:firstLine="416" w:firstLineChars="148"/>
        <w:rPr>
          <w:rFonts w:ascii="宋体" w:hAnsi="宋体"/>
          <w:b/>
          <w:sz w:val="28"/>
          <w:szCs w:val="28"/>
        </w:rPr>
      </w:pPr>
    </w:p>
    <w:p>
      <w:pPr>
        <w:pStyle w:val="11"/>
        <w:tabs>
          <w:tab w:val="left" w:pos="630"/>
          <w:tab w:val="right" w:leader="dot" w:pos="8608"/>
        </w:tabs>
        <w:ind w:firstLine="416" w:firstLineChars="148"/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1"/>
        <w:tabs>
          <w:tab w:val="left" w:pos="630"/>
          <w:tab w:val="right" w:leader="dot" w:pos="8608"/>
        </w:tabs>
        <w:ind w:firstLine="711" w:firstLineChars="148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评茶员项目技术工作文件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ind w:firstLine="562"/>
        <w:jc w:val="center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jc w:val="center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jc w:val="center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jc w:val="center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11"/>
        <w:tabs>
          <w:tab w:val="left" w:pos="630"/>
          <w:tab w:val="right" w:leader="dot" w:pos="8608"/>
        </w:tabs>
        <w:ind w:firstLine="416" w:firstLineChars="148"/>
        <w:rPr>
          <w:rFonts w:ascii="宋体" w:hAnsi="宋体"/>
          <w:b/>
          <w:sz w:val="28"/>
          <w:szCs w:val="28"/>
        </w:rPr>
      </w:pPr>
    </w:p>
    <w:p>
      <w:pPr>
        <w:pStyle w:val="11"/>
        <w:tabs>
          <w:tab w:val="left" w:pos="630"/>
          <w:tab w:val="right" w:leader="dot" w:pos="8608"/>
        </w:tabs>
        <w:ind w:firstLine="416" w:firstLineChars="148"/>
        <w:rPr>
          <w:rFonts w:ascii="宋体" w:hAnsi="宋体"/>
          <w:b/>
          <w:sz w:val="28"/>
          <w:szCs w:val="28"/>
        </w:rPr>
      </w:pPr>
    </w:p>
    <w:p>
      <w:pPr>
        <w:pStyle w:val="11"/>
        <w:tabs>
          <w:tab w:val="left" w:pos="630"/>
          <w:tab w:val="right" w:leader="dot" w:pos="8608"/>
        </w:tabs>
        <w:ind w:firstLine="416" w:firstLineChars="148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pStyle w:val="2"/>
      </w:pPr>
    </w:p>
    <w:p>
      <w:pPr>
        <w:pStyle w:val="2"/>
        <w:ind w:firstLine="56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技术工作组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编制</w:t>
      </w:r>
    </w:p>
    <w:p>
      <w:pPr>
        <w:pStyle w:val="2"/>
        <w:ind w:firstLine="562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sz w:val="36"/>
          <w:szCs w:val="36"/>
          <w:lang w:val="en-US" w:eastAsia="zh-CN"/>
        </w:rPr>
        <w:t>专家：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郭雅玲</w:t>
      </w:r>
      <w:r>
        <w:rPr>
          <w:rFonts w:hint="eastAsia" w:ascii="仿宋_GB2312" w:hAnsi="仿宋_GB2312" w:cs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 xml:space="preserve"> 周炎花</w:t>
      </w:r>
    </w:p>
    <w:p>
      <w:pPr>
        <w:pStyle w:val="2"/>
        <w:ind w:firstLine="562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2022年6月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562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</w:p>
    <w:p>
      <w:pPr>
        <w:pStyle w:val="11"/>
        <w:tabs>
          <w:tab w:val="left" w:pos="630"/>
          <w:tab w:val="right" w:leader="dot" w:pos="8608"/>
        </w:tabs>
        <w:rPr>
          <w:rFonts w:ascii="宋体" w:hAnsi="宋体"/>
          <w:b/>
          <w:sz w:val="28"/>
          <w:szCs w:val="28"/>
        </w:rPr>
      </w:pPr>
    </w:p>
    <w:sdt>
      <w:sdtPr>
        <w:rPr>
          <w:rFonts w:hint="eastAsia" w:ascii="黑体" w:hAnsi="黑体" w:eastAsia="黑体" w:cs="黑体"/>
          <w:b/>
          <w:bCs/>
          <w:kern w:val="0"/>
          <w:sz w:val="32"/>
          <w:szCs w:val="40"/>
        </w:rPr>
        <w:id w:val="147464938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sdtEndPr>
      <w:sdtContent>
        <w:p>
          <w:pPr>
            <w:jc w:val="center"/>
            <w:rPr>
              <w:rFonts w:ascii="黑体" w:hAnsi="黑体" w:eastAsia="黑体" w:cs="黑体"/>
              <w:b/>
              <w:bCs/>
              <w:sz w:val="32"/>
              <w:szCs w:val="40"/>
            </w:rPr>
          </w:pPr>
          <w:r>
            <w:rPr>
              <w:rFonts w:hint="eastAsia" w:ascii="黑体" w:hAnsi="黑体" w:eastAsia="黑体" w:cs="黑体"/>
              <w:b/>
              <w:bCs/>
              <w:sz w:val="32"/>
              <w:szCs w:val="40"/>
            </w:rPr>
            <w:t>目  录</w:t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TOC \o "1-2" \h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"_Toc16031"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一、技术描述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_Toc16031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"_Toc25508"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（一）项目概要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_Toc25508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"_Toc32213"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（二）基本知识与能力要求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_Toc32213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"_Toc23730"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二、试题与评判标准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_Toc23730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"_Toc7232"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（一）试题（样题）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_Toc7232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2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"_Toc23512"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（二）比赛时间及试题具体内容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_Toc23512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2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"_Toc10812"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（三）评判标准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_Toc10812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"_Toc16314"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三、竞赛细则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_Toc16314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"_Toc17584"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（一）裁判须知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_Toc17584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"_Toc20272"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（二）领队须知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_Toc20272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"_Toc26228"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（三）参赛选手须知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_Toc26228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"_Toc13195"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（四）工作人员须知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_Toc13195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"_Toc11787"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（五）申诉与仲裁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_Toc11787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15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"_Toc2543"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（六）竞赛观摩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_Toc2543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15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"_Toc523"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（七）违规处理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_Toc523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15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"_Toc27791"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（八）评茶员职业技能级别晋升条件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_Toc27791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"_Toc4586"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四、竞赛场地、设施设备等安排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_Toc4586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"_Toc6871"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（一）赛场规格要求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_Toc6871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"_Toc24071"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（二）场地布局图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_Toc24071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"_Toc24512"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（三）基础设施清单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_Toc24512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pStyle w:val="25"/>
            <w:tabs>
              <w:tab w:val="right" w:leader="dot" w:pos="8306"/>
            </w:tabs>
            <w:adjustRightInd w:val="0"/>
            <w:spacing w:line="500" w:lineRule="exact"/>
            <w:ind w:left="42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"_Toc2345" </w:instrText>
          </w:r>
          <w:r>
            <w:fldChar w:fldCharType="separate"/>
          </w:r>
          <w:r>
            <w:rPr>
              <w:rFonts w:ascii="Times New Roman" w:hAnsi="Times New Roman" w:eastAsia="仿宋" w:cs="Times New Roman"/>
              <w:b/>
              <w:bCs/>
              <w:sz w:val="28"/>
              <w:szCs w:val="28"/>
            </w:rPr>
            <w:t>五、安全、健康要求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PAGEREF _Toc2345 \h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19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>
      <w:pPr>
        <w:pStyle w:val="2"/>
        <w:ind w:firstLine="64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numPr>
          <w:ilvl w:val="0"/>
          <w:numId w:val="2"/>
        </w:numPr>
        <w:spacing w:before="0" w:after="0"/>
        <w:ind w:firstLine="640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_Toc16031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技术描述</w:t>
      </w:r>
      <w:bookmarkEnd w:id="0"/>
      <w:bookmarkStart w:id="1" w:name="_Toc25508"/>
    </w:p>
    <w:p>
      <w:pPr>
        <w:pStyle w:val="5"/>
        <w:numPr>
          <w:ilvl w:val="0"/>
          <w:numId w:val="0"/>
        </w:numPr>
        <w:spacing w:before="0" w:after="0"/>
        <w:ind w:left="0" w:leftChars="0" w:firstLine="421" w:firstLineChars="131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（一）项目概要</w:t>
      </w:r>
      <w:bookmarkEnd w:id="1"/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1.竞赛职业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评茶员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运用感官评定茶叶色、香、味、形的品质及等级的人员。</w:t>
      </w:r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2.竞赛条件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参赛选手由各区市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选拔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产生，一般应持有相应职业中级以上职业资格证书或助理级以上职称证书；未取得中级资格的，应从事本职业工作五年以上，经单位推荐，竞赛组委会同意后，方可参赛。</w:t>
      </w:r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3.竞赛形式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本届竞赛形式为个人赛（单人）。</w:t>
      </w:r>
    </w:p>
    <w:p>
      <w:pPr>
        <w:pStyle w:val="20"/>
        <w:shd w:val="clear" w:color="auto" w:fill="FFFFFF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以各设区市人社局、平潭综合实验区党工委党群工作部及有关单位组队参赛，共组成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个参赛代表队。各参赛代表队参赛人数不超过6人(竞赛承办地可增加一个参赛队名额)。</w:t>
      </w:r>
    </w:p>
    <w:p>
      <w:pPr>
        <w:pStyle w:val="6"/>
        <w:spacing w:before="0" w:after="0"/>
        <w:ind w:left="0" w:leftChars="0" w:firstLine="421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32213"/>
      <w:r>
        <w:rPr>
          <w:rFonts w:hint="eastAsia" w:ascii="仿宋_GB2312" w:hAnsi="仿宋_GB2312" w:eastAsia="仿宋_GB2312" w:cs="仿宋_GB2312"/>
          <w:sz w:val="32"/>
          <w:szCs w:val="32"/>
        </w:rPr>
        <w:t>（二）基本知识与能力要求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竞赛以评茶员国家职业技能标准高级工（国家职业资格三级）以上的技能要求为基础，适当增加技师（国家职业技能等级二级）技能要求，融入相关新知识、新技术、新技能等内容。</w:t>
      </w:r>
    </w:p>
    <w:p>
      <w:pPr>
        <w:pStyle w:val="5"/>
        <w:spacing w:before="0" w:after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3" w:name="_Toc23730"/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二、试题与评判标准</w:t>
      </w:r>
      <w:bookmarkEnd w:id="3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本次竞赛由理论和技能操作两部分组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其中理论知识占20%，技能操作占80%。</w:t>
      </w:r>
    </w:p>
    <w:p>
      <w:pPr>
        <w:pStyle w:val="6"/>
        <w:spacing w:before="0" w:after="0"/>
        <w:ind w:left="0" w:leftChars="0" w:firstLine="421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Toc7232"/>
      <w:r>
        <w:rPr>
          <w:rFonts w:hint="eastAsia" w:ascii="仿宋_GB2312" w:hAnsi="仿宋_GB2312" w:eastAsia="仿宋_GB2312" w:cs="仿宋_GB2312"/>
          <w:sz w:val="32"/>
          <w:szCs w:val="32"/>
        </w:rPr>
        <w:t>（一）试题（样题）</w:t>
      </w:r>
      <w:bookmarkEnd w:id="4"/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1.模块基本内容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（1）理论知识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理论知识的参考资料：①国家标准《茶叶感官审评方法》GB/T23776-2018，②国家标准《茶叶感官审评术语》（GB/T 14887-2017），③《茶叶审评与检验》（第四版，中国农业出版社，施兆鹏主编）④《制茶学》（第三版，中国农业出版社，夏涛主编）等。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（2）技能操作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操作技能的执行标准：茶叶感官审评方法（GB/T 23776-2018）、茶叶感官审评术语（GB/T 14487-2017）及茶叶感官审评基本条件（GB/T 18797-2012）等。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技能总分100分，占竞赛总成绩80%，包含五个模块：模块1茶形辩识；模块2香味排序；模块3品质审定；模块4对样评茶；模块5茶品设计。</w:t>
      </w:r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2.本项目竞赛题的命题方式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（1）理论试卷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理论试题题型为单项选择题、多项选择题、判断题，从评茶员职业技能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题库中抽取，采取闭卷考核形式，满分为100分。占竞赛总成绩20%。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（2）技能试卷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技能试卷由技术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专家命制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6"/>
        <w:spacing w:before="0" w:after="0"/>
        <w:ind w:left="0" w:leftChars="0" w:firstLine="421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23512"/>
      <w:r>
        <w:rPr>
          <w:rFonts w:hint="eastAsia" w:ascii="仿宋_GB2312" w:hAnsi="仿宋_GB2312" w:eastAsia="仿宋_GB2312" w:cs="仿宋_GB2312"/>
          <w:sz w:val="32"/>
          <w:szCs w:val="32"/>
        </w:rPr>
        <w:t>（二）比赛时间及试题具体内容</w:t>
      </w:r>
      <w:bookmarkEnd w:id="5"/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1.比赛时间安排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（1）理论知识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竞赛方式：纸质闭卷考试，使用答题卡；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分数比例：满分100分，占总成绩的20%；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竞赛时间：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0分钟；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竞赛环境：职业技能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标准化考室，每间考室原则上不超过30名考生。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（2）技能操作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技能操作满分100分，占总成绩的80%。所有参赛选手在报到检录后，由执委会组织抽签决定参赛顺序和工位。抽签号即是该参赛环节顺序号（工位号）。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技能操作五个模块的时间分配：</w:t>
      </w:r>
    </w:p>
    <w:p>
      <w:pPr>
        <w:pStyle w:val="23"/>
        <w:ind w:firstLine="42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表1 技能竞赛内容及时间分配表</w:t>
      </w:r>
    </w:p>
    <w:tbl>
      <w:tblPr>
        <w:tblStyle w:val="14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671"/>
        <w:gridCol w:w="4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模块号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竞赛模块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茶形辩识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香味排序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品质审定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对样评茶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茶品设计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210分钟</w:t>
            </w:r>
          </w:p>
        </w:tc>
      </w:tr>
    </w:tbl>
    <w:p>
      <w:pPr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2.试题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技能操作包含五个模块：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模块1 茶形辩识；模块2 香味排序；模块3 品质审定；模块4 对样评茶；模块5茶品设计。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（1）模块1  茶形辩识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：考核参赛者对全国茶产品的认知面。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30分钟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：参赛者通过审评外形判断产品名称，对盘号准确写出各茶样的归属茶类、名称，并对外形进行描述，不做内质审评。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：从全国茶叶中选择具有代表性茶样20个，组成一套试题。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供试茶叶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：一组20个茶叶由六大茶类和再加工茶类组成，包含绿茶、红茶、青茶（乌龙茶）、白茶、黑茶、黄茶、茉莉花茶。根据比赛需要准备若干套。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评判方法</w:t>
      </w:r>
      <w:r>
        <w:rPr>
          <w:rFonts w:hint="eastAsia" w:ascii="仿宋_GB2312" w:hAnsi="仿宋_GB2312" w:eastAsia="仿宋_GB2312" w:cs="仿宋_GB2312"/>
          <w:sz w:val="32"/>
          <w:szCs w:val="32"/>
        </w:rPr>
        <w:t>：标准答案。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（2）模块2  香味排序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：考核选手从单一因子对茶样质量高低的判断能力。试题均为同一茶类。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20分钟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选手竞赛时，随机抽取其中一大类茶的同一种考核茶样4个。参赛者抽签抽取工位，通过嗅辩香气和尝滋味，判断茶名，按品质从高到低将4个茶样的香气（审评杯）与滋味（审评碗）次序进行排列，并将排序结果填入记录表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：4个品质接近、级差均衡、但有一定难度的茶样组成一套试题。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：按照《茶叶感官审评方法》（GB/T23776-2018）规定的柱形杯审评方法，分别称取3克茶样，放入规定的标准审评杯（杯底有编号），用沸水进行冲泡、计时，到规定的时间将茶汤沥出，倒入标准审评碗（碗底有编号）中，得到一组4杯香气（香气排序）和一组4碗滋味（滋味排序）茶供比赛用。根据比赛需要准备若干套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供试茶叶：</w:t>
      </w:r>
      <w:r>
        <w:rPr>
          <w:rFonts w:hint="eastAsia" w:ascii="仿宋_GB2312" w:hAnsi="仿宋_GB2312" w:eastAsia="仿宋_GB2312" w:cs="仿宋_GB2312"/>
          <w:sz w:val="32"/>
          <w:szCs w:val="32"/>
        </w:rPr>
        <w:t>试题均为同一茶类，一组4个品质接近、级差均衡、但有一定难度的茶样。对茶样进行编号。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评判方法：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标准答案。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（3）模块3  品质审定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：考核选手对产品等级、品种风格的掌握程度。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50分钟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竞赛时，随机抽取其中一大类茶的同一种考核茶样4个，依据《茶叶感官审评方法》（GB/T23776-2018）规定进行审评，写出茶名、等级、品质因子权数，正确运用专业术语描述考核样，并根据茶类评分原则，对“外形、汤色、香气、滋味与叶底”各品质因子进行逐一评分，运用加权评分法（百分制）进行计算汇总，评比品质优次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：由一组4个相邻等级茶叶组成一套试题。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：4个等级相邻、级差均衡、有代表性的茶叶各100~200克。根据比赛需要准备若干套。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供试茶叶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：试题由不同茶类组成。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评判方法：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标准答案。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（4）模块4  对样评茶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：考核七档制法对样评茶的能力。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40分钟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竞赛时，随机抽取其中一大类茶的同一种考核茶样4个，依据《茶叶感官审评方法》（GB/T23776-2018）规定进行审评，写出茶名，对照参考样，运用七档制对3个比赛茶的品质各因子进行逐一评比记分，汇总计算品质水平总分，并做好相应的审评结论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：由一组4个有推荐标准（如国家标准、行业标准、地方标准、团体标准）相邻等级茶叶组成一套试题，设置其中1个为参考样。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：4个等级相邻、级差均衡、有代表性的茶叶各100-200克。根据比赛需要准备若干套。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供试茶叶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：试题由不同茶类组成。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评判方法：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标准答案。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（5）模块5  茶品设计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：考核选手的茶叶品质分析、拼配技术等综合能力。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考核时间：70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依据《茶叶感官审评方法》（GB/T23776-2018）规定对5个原料茶和1个目标样进行审评，根据原料茶和目标成品茶样的感官品质，分析目标样中所采用的原料茶及所占比例，最后拼配出与目标样一致的拼配样，描述干扰样、拼配样的品质特征，并做简要描述产品文案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：一组5个原料茶（同一茶类、不同产地、不同等级）和1个目标样（由所提供的4个原料茶拼配而成）组成一套试题，共6个茶样（其中有1个没有使用的干扰原料茶）。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试题准备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：原料茶5个（同一茶类各150克）和目标样1个（由原料茶拼配而成，150克）组成一套试题。根据比赛需要准备若干套。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供试茶叶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：原料茶5个（同一茶类，各150克）和目标样1个（由原料茶拼配而成，150克）组成一套试题。根据比赛需要准备若干套。</w:t>
      </w:r>
    </w:p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评判方法</w:t>
      </w:r>
      <w:r>
        <w:rPr>
          <w:rFonts w:hint="eastAsia" w:ascii="仿宋_GB2312" w:hAnsi="仿宋_GB2312" w:eastAsia="仿宋_GB2312" w:cs="仿宋_GB2312"/>
          <w:sz w:val="32"/>
          <w:szCs w:val="32"/>
        </w:rPr>
        <w:t>：标准答案。</w:t>
      </w:r>
    </w:p>
    <w:p>
      <w:pPr>
        <w:pStyle w:val="6"/>
        <w:spacing w:before="0" w:after="0"/>
        <w:ind w:left="0" w:leftChars="0" w:firstLine="421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10812"/>
      <w:r>
        <w:rPr>
          <w:rFonts w:hint="eastAsia" w:ascii="仿宋_GB2312" w:hAnsi="仿宋_GB2312" w:eastAsia="仿宋_GB2312" w:cs="仿宋_GB2312"/>
          <w:sz w:val="32"/>
          <w:szCs w:val="32"/>
        </w:rPr>
        <w:t>（三）评判标准</w:t>
      </w:r>
      <w:bookmarkEnd w:id="6"/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竞赛评分严格按照公平、公正、公开的原则。</w:t>
      </w:r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1.分数权重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竞赛成绩=理论成绩×20%+技能成绩×80%。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按竞赛成绩从高到低进行排序，确定成绩名次及其对应的奖励项目名称。</w:t>
      </w:r>
    </w:p>
    <w:p>
      <w:pPr>
        <w:pStyle w:val="20"/>
        <w:ind w:firstLine="560"/>
        <w:jc w:val="left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技能成绩=（茶形辩识得分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20%）+（香味排序得分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10%）+（品质审定得分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30%）+（对样评茶得分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15%）+（茶品设计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25%）。</w:t>
      </w:r>
    </w:p>
    <w:p>
      <w:pPr>
        <w:pStyle w:val="23"/>
        <w:ind w:firstLine="42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表2 技能竞赛内容及分数权重</w:t>
      </w:r>
    </w:p>
    <w:tbl>
      <w:tblPr>
        <w:tblStyle w:val="1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896"/>
        <w:gridCol w:w="2079"/>
        <w:gridCol w:w="2079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模块号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竞赛模块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竞赛时间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测量分值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占技能总分%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茶形辩识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技能试卷100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香味排序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技能试卷100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品质审定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技能试卷100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对样评茶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40分钟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技能试卷100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茶品设计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70分钟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技能试卷100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210分钟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</w:tr>
    </w:tbl>
    <w:p>
      <w:pPr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2.评判方法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（1）本次竞赛各项成绩按照百分制计分。理论知识竞赛采取纸质答题卡答卷考试形式，答题卡阅卷在组委会监督组的监督下进行，进行答题机阅卷。技能成绩评定，各模块由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3名裁判员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进行评判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，按照评分标准评定参赛选手的成绩，各模块成绩汇总审定。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赛选手放弃任一环节将不参与比赛总分排名统计。在竞赛过程中，参赛选手如有不服从裁判判决、扰乱赛场秩序、舞弊等不文明行为，由执裁组按照规定扣减相应分数，情节严重的取消竞赛资格，竞赛成绩记0分。未尽事宜，由裁判长组织相关裁判组长商议解决。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（3）参赛选手需在赛场工作人员示意后，统一进入比赛场地，依序号在指定的位置进行评茶，评茶器具统一由组织单位配置。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（4）评茶过程中，由裁判员巡视执裁。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（5）参赛选手的审评报告交由监督员、工作人员统一密码编号，由裁判员统一对审评报告打分。</w:t>
      </w:r>
    </w:p>
    <w:p>
      <w:pPr>
        <w:pStyle w:val="20"/>
        <w:ind w:firstLine="56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评判流程：赛前评判培训---现场评判记录---交接记录。</w:t>
      </w:r>
    </w:p>
    <w:p>
      <w:pPr>
        <w:pStyle w:val="20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表3 感官审评操作 评分细则</w:t>
      </w:r>
    </w:p>
    <w:tbl>
      <w:tblPr>
        <w:tblStyle w:val="15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96"/>
        <w:gridCol w:w="753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操作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要点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评分细则</w:t>
            </w:r>
          </w:p>
        </w:tc>
        <w:tc>
          <w:tcPr>
            <w:tcW w:w="85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审评器具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选配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根据茶类，选配审评杯碗，乌龙茶要求采用盖碗审评法，红茶、绿茶、白茶、黄茶、黑茶、花茶等要求采用柱形杯法。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准确，得10分；只选对杯或碗，得5分；杯碗选配都不对，得0分。</w:t>
            </w:r>
          </w:p>
        </w:tc>
        <w:tc>
          <w:tcPr>
            <w:tcW w:w="85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分样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将茶样规范有序地倒入茶样盘中（不洒落茶叶），将茶样袋放盘底或茶样盘前方。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无洒落茶叶，规范有序，得5分；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洒落少量茶叶，尚规范有序，得3~4分；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洒落较多茶叶，干平台杂乱，得1~2分。</w:t>
            </w:r>
          </w:p>
        </w:tc>
        <w:tc>
          <w:tcPr>
            <w:tcW w:w="85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96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把盘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把盘规范流畅，茶样不洒落，得8~10分；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把盘基本规范流畅，茶样少量洒落，得5~7分；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未把盘，洒落较多茶样，得1~3分。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称样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准确称取3g或5g茶样。审评具体取样要求如下：将茶样混匀，用拇指、食指、中指抓取审评茶样；每杯用样，应一次抓够；避免将茶叶抓碎或捏断。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称样准确规范，得8~10分；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称样基本准确规范，得5~7分；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称样不规范或不熟练，每个扣1分，扣完为止。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冲泡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沥汤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冲泡计时，操作流畅规范；出汤流畅规范，未洒落茶汤或打翻杯碗。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准确规范，得8~10分；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基本准确规范，得5~7分；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不规范或不准确，未计时，洒落茶汤，打翻杯碗，得1~5分。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汤色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规范准确，得5分；基本准确规范，得3~4分；先尝味再看汤色，每个扣1分，扣完为止。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闻香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柱形杯审评法，手持杯，一手持盖，靠近鼻孔，半开杯盖，嗅评杯中香气，每次持续2s~3s，后随即合上杯盖。盖碗审评法按乌龙茶审评方法。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准确规范，得11~15分；基本准确规范，得6~10分；不规范或不准确，得1~3分。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尝味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准确规范，得11~15分；基本准确规范，得6~10分。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看叶底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红、绿、白、花茶采用黑色叶底盘，乌龙茶采用白色搪瓷叶底盘，操作时应将杯中的茶叶全部倒人叶底盘中，其中白色搪瓷叶底盘中要加入适量清水，让叶底漂浮起来。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准确规范，得8~10分；基本准确规范，得5~7分；不规范或不准确，得1~3分。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62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程序完整性</w:t>
            </w:r>
          </w:p>
        </w:tc>
        <w:tc>
          <w:tcPr>
            <w:tcW w:w="753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评茶操作（把盘-评外形-看汤色-闻香气-尝滋味-评叶底）的全部程序完整流畅。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完整流畅，得8~10分；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基本完整流畅，得5~7分；不完整或不流畅，得1~3分。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</w:tbl>
    <w:p>
      <w:pPr>
        <w:pStyle w:val="20"/>
        <w:ind w:firstLine="56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技能试卷评分标准如下：</w:t>
      </w:r>
    </w:p>
    <w:p>
      <w:pPr>
        <w:pStyle w:val="23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表4 竞赛技能试卷的评分标准</w:t>
      </w:r>
    </w:p>
    <w:tbl>
      <w:tblPr>
        <w:tblStyle w:val="1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0"/>
        <w:gridCol w:w="780"/>
        <w:gridCol w:w="7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模块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考核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配分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茶形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辩识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考核20个茶样，每个茶样5分。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答对1个茶产品准确名得1分，接近类似者得0.5分，不正确不得分；茶类准确得1分，不正确不得分；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准确描述形状特征得2分、描述接近得1分；色泽描述准确得1分、描述接近得0.5分，不正确不得分。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香味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排序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香气排序，共4只；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正确一只，得12.5分；没有正确不得分。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滋味排序，共4只；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正确一只，得12.5分；没有正确不得分。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品质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1.技能操作分。满分100分。占模块三分值比例为10%。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包括备具、分样、把盘、取样、称样、冲泡沥汤、看汤色、闻香气、尝滋味、评叶底、程序完整性。详见技能操作评分细则。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2.技能卷面分。满分100分。占模块三分值比例为90%。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（1）评分系数外形、汤色、香气、滋味和叶底5个，每个4分，共20分。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（2）待评审的4个茶样，每个茶样20分。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①茶样名称2分；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②外形、汤色、香气、滋味和叶底评语各3分，共15分。描述正确得3分，基本正确得2分，相近评语得1分，错漏不得分。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③品质比较排名3分。正确得3分；错漏不得分。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对样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评茶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1.技能操作分。满分100分。占模块四分值比例为10%。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包括备具、分样、把盘、取样、称样、冲泡沥汤、看汤色、闻香气、尝滋味、评叶底、程序完整性。详见技能操作评分细则。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2.技能卷面分。满分100分。占模块四分值比例为90%。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（1）分值：参考样10分。正确表述参考样分值，每空格1分，错漏不得分。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（2）其他样3个，每个配分30分，共90分。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茶样名称、八因子、总分、每项2分，共20分，结论5分，列式计算5分。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①八因子的各因子、总分，正确得2分；七档制分值错1档扣0.5分、扣完为止。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②结论正确得5分，错1档扣0.5分，扣完为止。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③列式并计算正确得5分，列式并计算不正确得2分，未列式不得分。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茶品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设计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1.技能操作分。满分100分。占模块五分值比例为10%。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包括备具、分样、把盘摇样、取样称样、冲泡沥汤、看汤色、闻香气、尝滋味、评叶底、程序完整性。详见技能操作评分细则。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2.技能卷面分。满分100分。占模块五分值比例为90%。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（1）目标样配分15分和干扰样配分15分。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每题的外形、汤色、香气、滋味和叶底各3分，每项因子描述完全正确得3分，基本正确得2分，稍正确得1分，不正确不得分。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（2）拼配比例的配分60分。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用于拼配的4个原料茶，每个15分，与准确值相差±4%以内，得15分；与准确值相差±6%以内，得10分；与准确值相差±10%以内，得5分；其他比例不得分。</w:t>
            </w:r>
          </w:p>
          <w:p>
            <w:pPr>
              <w:snapToGrid w:val="0"/>
              <w:spacing w:line="38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（3）提交拼配样并作分析10分：有提交拼配样30g，并作分析得10分；无提交拼配样、无分析，不得分。</w:t>
            </w:r>
          </w:p>
        </w:tc>
      </w:tr>
    </w:tbl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3.成绩并列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竞赛成绩排名出现同等分数时，以技能成绩高者排名在前；当技能成绩同等分数时，模块间优先排序为模块5、模块4、模块3、模块2、模块1。平均分值取小数点后两位，四舍五入；成绩高者排名在前。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经审核无误后公布竞赛成绩。</w:t>
      </w:r>
    </w:p>
    <w:p>
      <w:pPr>
        <w:pStyle w:val="5"/>
        <w:spacing w:before="0" w:after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7" w:name="_Toc16314"/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三、竞赛细则</w:t>
      </w:r>
      <w:bookmarkEnd w:id="7"/>
    </w:p>
    <w:p>
      <w:pPr>
        <w:pStyle w:val="6"/>
        <w:spacing w:before="0" w:after="0"/>
        <w:ind w:left="0" w:leftChars="0" w:firstLine="421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_Toc17584"/>
      <w:r>
        <w:rPr>
          <w:rFonts w:hint="eastAsia" w:ascii="仿宋_GB2312" w:hAnsi="仿宋_GB2312" w:eastAsia="仿宋_GB2312" w:cs="仿宋_GB2312"/>
          <w:sz w:val="32"/>
          <w:szCs w:val="32"/>
        </w:rPr>
        <w:t>（一）裁判须知</w:t>
      </w:r>
      <w:bookmarkEnd w:id="8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（1）严守大赛岗位职责，服从大赛组委会统一安排。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（2）在执委会及裁判长的领导下，以高度负责的精神、严肃认真的态度和严谨细致的作风做好裁判工作。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（3）熟悉比赛的有关规定，认真执行比赛规则，严格按照工作程序办事。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（4）必须佩带大赛裁判证上岗。</w:t>
      </w:r>
    </w:p>
    <w:p>
      <w:pPr>
        <w:pStyle w:val="6"/>
        <w:spacing w:before="0" w:after="0"/>
        <w:ind w:left="0" w:leftChars="0" w:firstLine="421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Toc20272"/>
      <w:r>
        <w:rPr>
          <w:rFonts w:hint="eastAsia" w:ascii="仿宋_GB2312" w:hAnsi="仿宋_GB2312" w:eastAsia="仿宋_GB2312" w:cs="仿宋_GB2312"/>
          <w:sz w:val="32"/>
          <w:szCs w:val="32"/>
        </w:rPr>
        <w:t>（二）领队须知</w:t>
      </w:r>
      <w:bookmarkEnd w:id="9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（1）本赛项为个人赛，各领队应熟悉本次大赛技术文件、规程及有关要求。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 按照大赛赛程安排准时参加领队会及其他赛程活动等安排，并认真传达、落实会议精神，确保参赛选手准时参加各项比赛。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（3）熟悉竞赛流程，妥善组织管理好本队人员的日常生活及安全问题。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（4）贯彻执行竞赛的各项规定，竞赛期间不得私自接触裁判。</w:t>
      </w:r>
    </w:p>
    <w:p>
      <w:pPr>
        <w:pStyle w:val="6"/>
        <w:spacing w:before="0" w:after="0"/>
        <w:ind w:left="0" w:leftChars="0" w:firstLine="421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_Toc26228"/>
      <w:r>
        <w:rPr>
          <w:rFonts w:hint="eastAsia" w:ascii="仿宋_GB2312" w:hAnsi="仿宋_GB2312" w:eastAsia="仿宋_GB2312" w:cs="仿宋_GB2312"/>
          <w:sz w:val="32"/>
          <w:szCs w:val="32"/>
        </w:rPr>
        <w:t>（三）参赛选手须知</w:t>
      </w:r>
      <w:bookmarkEnd w:id="10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（1）参赛选手严格遵守赛场规章、操作规程，保证人身及设备安全，接受裁判员的监督和警示，文明竞赛。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（2）各参赛选手应在竞赛开始前一天规定的时间段进入赛场熟悉环境。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（3）选手理论考试座位号随机生成，选手将按号入座；比赛期间参赛选手不得离开比赛场地，如有特殊情况，需经裁判同意后方可离开，但离开期间的时间一律计算在比赛时间内。</w:t>
      </w:r>
    </w:p>
    <w:p>
      <w:pPr>
        <w:pStyle w:val="20"/>
        <w:ind w:left="0" w:leftChars="0" w:firstLine="560" w:firstLineChars="17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（4）每场次参赛选手必须在正式比赛前30分钟到赛场报到，报到时应持本人身份证和参赛证，统一穿着比赛服装，并佩戴大赛组委会签发的参赛证（胸牌）。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（5）参赛选手进入赛场，不允许携带任何书籍和其他纸质资料，不允许携带通讯工具和存储设备。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（6）竞赛时，在收到开赛信号前不得启动操作，各参赛选手需在抽签确定的工位上完成相应竞赛项目，严禁作弊行为。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比赛期间，参赛选手必须严格遵守赛场纪律，除携带竞赛所需自备用具外，其它一律不得带入竞赛现场，不得在赛场内大声喧哗，不得作弊或弄虚作假；同时，必须严格遵守操作规程，确保设备和人身安全，并接受裁判员的监督和警示。若因选手因素造成设备故障或损坏，无法进行比赛，裁判长有权终止该队比赛；若因非选手个人因素造成设备故障的，由裁判长组织人员视具体情况做出裁决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（8）比赛终止后，不得再进行任何与比赛有关的操作。选手在竞赛过程中不得擅自离开赛场，如有特殊情况，需经裁判长同意后作特殊处理。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（9）参赛选手应遵守竞赛规则，遵守赛场纪律，服从大赛组委会的指挥和安排，爱护竞赛场地的设备和器材。</w:t>
      </w:r>
    </w:p>
    <w:p>
      <w:pPr>
        <w:pStyle w:val="6"/>
        <w:spacing w:before="0" w:after="0"/>
        <w:ind w:left="0" w:leftChars="0" w:firstLine="459" w:firstLineChars="143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_Toc13195"/>
      <w:r>
        <w:rPr>
          <w:rFonts w:hint="eastAsia" w:ascii="仿宋_GB2312" w:hAnsi="仿宋_GB2312" w:eastAsia="仿宋_GB2312" w:cs="仿宋_GB2312"/>
          <w:sz w:val="32"/>
          <w:szCs w:val="32"/>
        </w:rPr>
        <w:t>（四）工作人员须知</w:t>
      </w:r>
      <w:bookmarkEnd w:id="11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（1）严守大赛岗位职责，服从大赛组委会统一安排。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（2）在执委会及下设工作机构负责人的领导下，以高度负责的精神、严肃认真的态度和严谨细致的作风做好工作。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（3）熟悉比赛的有关规定，认真执行比赛规则，严格按照工作程序办事。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（4）举止文明，态度和气，工作主动，服务热情。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（5）不相互打听、传递比赛情况。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（6）必须佩带大赛工作证上岗。</w:t>
      </w:r>
    </w:p>
    <w:p>
      <w:pPr>
        <w:pStyle w:val="6"/>
        <w:spacing w:before="0" w:after="0"/>
        <w:ind w:left="0" w:leftChars="0" w:firstLine="459" w:firstLineChars="143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_Toc11787"/>
      <w:r>
        <w:rPr>
          <w:rFonts w:hint="eastAsia" w:ascii="仿宋_GB2312" w:hAnsi="仿宋_GB2312" w:eastAsia="仿宋_GB2312" w:cs="仿宋_GB2312"/>
          <w:sz w:val="32"/>
          <w:szCs w:val="32"/>
        </w:rPr>
        <w:t>（五）申诉与仲裁</w:t>
      </w:r>
      <w:bookmarkEnd w:id="12"/>
    </w:p>
    <w:p>
      <w:pPr>
        <w:pStyle w:val="20"/>
        <w:ind w:left="0" w:leftChars="0" w:firstLine="617" w:firstLineChars="19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（1）大赛组委会设仲裁工作组，负责接受并仲裁各参赛代表队的书面申诉，处理赛区违背公平公正原则的行为，记录违规处理及仲裁结果。</w:t>
      </w:r>
    </w:p>
    <w:p>
      <w:pPr>
        <w:pStyle w:val="20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赛队对赛事过程、工作人员工作若有疑异，在事实清楚，证据充分的前提下可由参赛队领队以书面形式向仲裁组提出申诉。报告应对申诉事件的现象、发生时间、涉及人员、申诉依据等进行充分、实事求是的叙述，非书面申诉不予受理。不得擅自传播、扩散未经核查证实的言论、信息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（3）提出申诉应在赛项比赛结束后1小时内向仲裁组提出，超过时效不予受理。提出申诉后申诉人及相关涉及人员不得离开赛点，否则视为自行放弃申诉。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（4）仲裁组在接到申诉报告后的2小时内组织复议，并及时将复议结果以书面形式告知申诉方，仲裁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bookmarkStart w:id="27" w:name="_GoBack"/>
      <w:bookmarkEnd w:id="27"/>
      <w:r>
        <w:rPr>
          <w:rFonts w:hint="eastAsia" w:ascii="仿宋_GB2312" w:hAnsi="仿宋_GB2312" w:eastAsia="仿宋_GB2312" w:cs="仿宋_GB2312"/>
          <w:sz w:val="32"/>
          <w:szCs w:val="32"/>
        </w:rPr>
        <w:t>的仲裁结果为最终结果。</w:t>
      </w:r>
    </w:p>
    <w:p>
      <w:pPr>
        <w:pStyle w:val="6"/>
        <w:spacing w:before="0" w:after="0"/>
        <w:ind w:left="0" w:leftChars="0" w:firstLine="501" w:firstLineChars="156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_Toc2543"/>
      <w:r>
        <w:rPr>
          <w:rFonts w:hint="eastAsia" w:ascii="仿宋_GB2312" w:hAnsi="仿宋_GB2312" w:eastAsia="仿宋_GB2312" w:cs="仿宋_GB2312"/>
          <w:sz w:val="32"/>
          <w:szCs w:val="32"/>
        </w:rPr>
        <w:t>（六）竞赛观摩</w:t>
      </w:r>
      <w:bookmarkEnd w:id="13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本赛项需要在较为安静的环境下进行，嘉宾、观摩团队、领队、工作人员等在不影响比赛正常进行的前提下，严格遵守各项观摩纪律，按照指定路线观摩比赛。</w:t>
      </w:r>
    </w:p>
    <w:p>
      <w:pPr>
        <w:pStyle w:val="6"/>
        <w:spacing w:before="0" w:after="0"/>
        <w:ind w:left="0" w:leftChars="0" w:firstLine="562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bookmarkStart w:id="14" w:name="_Toc523"/>
      <w:r>
        <w:rPr>
          <w:rFonts w:hint="eastAsia" w:ascii="仿宋_GB2312" w:hAnsi="仿宋_GB2312" w:eastAsia="仿宋_GB2312" w:cs="仿宋_GB2312"/>
          <w:sz w:val="32"/>
          <w:szCs w:val="32"/>
        </w:rPr>
        <w:t>（七）违规处理</w:t>
      </w:r>
      <w:bookmarkEnd w:id="14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本次参赛有关人员违规处理按《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福建省职业技能竞赛管理办法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有关规定执行。</w:t>
      </w:r>
    </w:p>
    <w:p>
      <w:pPr>
        <w:pStyle w:val="6"/>
        <w:spacing w:before="0" w:after="0"/>
        <w:ind w:left="0" w:leftChars="0" w:firstLine="540" w:firstLineChars="168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_Toc27791"/>
      <w:r>
        <w:rPr>
          <w:rFonts w:hint="eastAsia" w:ascii="仿宋_GB2312" w:hAnsi="仿宋_GB2312" w:eastAsia="仿宋_GB2312" w:cs="仿宋_GB2312"/>
          <w:sz w:val="32"/>
          <w:szCs w:val="32"/>
        </w:rPr>
        <w:t>（八）评茶员职业技能级别晋升条件</w:t>
      </w:r>
      <w:bookmarkEnd w:id="15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选手理论成绩和技能操作比赛成绩均达到60分以上时，按竞赛奖励办法（详见竞赛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）晋升职业技能级别。</w:t>
      </w:r>
    </w:p>
    <w:p>
      <w:pPr>
        <w:pStyle w:val="5"/>
        <w:spacing w:before="0" w:after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6" w:name="_Toc4586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四、竞赛场地、设施设备等安排</w:t>
      </w:r>
      <w:bookmarkEnd w:id="16"/>
      <w:r>
        <w:rPr>
          <w:rFonts w:hint="eastAsia" w:ascii="黑体" w:hAnsi="黑体" w:eastAsia="黑体" w:cs="黑体"/>
          <w:b w:val="0"/>
          <w:bCs/>
          <w:sz w:val="32"/>
          <w:szCs w:val="32"/>
        </w:rPr>
        <w:tab/>
      </w:r>
    </w:p>
    <w:p>
      <w:pPr>
        <w:pStyle w:val="6"/>
        <w:spacing w:before="0" w:after="0"/>
        <w:ind w:left="0" w:leftChars="0" w:firstLine="501" w:firstLineChars="156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_Toc6871"/>
      <w:r>
        <w:rPr>
          <w:rFonts w:hint="eastAsia" w:ascii="仿宋_GB2312" w:hAnsi="仿宋_GB2312" w:eastAsia="仿宋_GB2312" w:cs="仿宋_GB2312"/>
          <w:sz w:val="32"/>
          <w:szCs w:val="32"/>
        </w:rPr>
        <w:t>（一）赛场规格要求</w:t>
      </w:r>
      <w:bookmarkEnd w:id="17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（1）比赛场地环境照明、控温良好，能提供稳定的水、电，并备有供电应急设备和消防设备。</w:t>
      </w:r>
    </w:p>
    <w:p>
      <w:pPr>
        <w:pStyle w:val="20"/>
        <w:ind w:left="0" w:leftChars="0" w:firstLine="617" w:firstLineChars="19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（2）每个环节考核场地面积约为100m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，场地内提供有数量充足的标准审评器具和设备，具体规格参照《茶叶感官审评基本条件》（GB/T 18797-2012）。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（3）各赛场配备电子监控设备。</w:t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（4）在竞赛不被干扰的前提下赛场全面开放，观摩人员可沿指定路线、区域内现场观赛。</w:t>
      </w:r>
    </w:p>
    <w:p>
      <w:pPr>
        <w:pStyle w:val="6"/>
        <w:spacing w:before="0" w:after="0"/>
        <w:ind w:left="0" w:leftChars="0" w:firstLine="562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_Toc24071"/>
      <w:r>
        <w:rPr>
          <w:rFonts w:hint="eastAsia" w:ascii="仿宋_GB2312" w:hAnsi="仿宋_GB2312" w:eastAsia="仿宋_GB2312" w:cs="仿宋_GB2312"/>
          <w:sz w:val="32"/>
          <w:szCs w:val="32"/>
        </w:rPr>
        <w:t>（二）场地布局图</w:t>
      </w:r>
      <w:bookmarkEnd w:id="18"/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竞赛具体场地布局详见主办方公布的竞赛手册。</w:t>
      </w:r>
    </w:p>
    <w:p>
      <w:pPr>
        <w:pStyle w:val="6"/>
        <w:spacing w:before="0" w:after="0"/>
        <w:ind w:left="0" w:leftChars="0" w:firstLine="581" w:firstLineChars="181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_Toc24512"/>
      <w:r>
        <w:rPr>
          <w:rFonts w:hint="eastAsia" w:ascii="仿宋_GB2312" w:hAnsi="仿宋_GB2312" w:eastAsia="仿宋_GB2312" w:cs="仿宋_GB2312"/>
          <w:sz w:val="32"/>
          <w:szCs w:val="32"/>
        </w:rPr>
        <w:t>（三）基础设施清单</w:t>
      </w:r>
      <w:bookmarkEnd w:id="19"/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1.场地基本设备工具清单表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20"/>
        <w:ind w:firstLine="5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以一个比赛工位为例，基本设备工具清单如下表。</w:t>
      </w:r>
    </w:p>
    <w:p>
      <w:pPr>
        <w:pStyle w:val="20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表5 场地基本设备工具清单表</w:t>
      </w:r>
    </w:p>
    <w:tbl>
      <w:tblPr>
        <w:tblStyle w:val="1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85"/>
        <w:gridCol w:w="4961"/>
        <w:gridCol w:w="839"/>
        <w:gridCol w:w="829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型号 与 规格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干评台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干评台黑色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湿评台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湿评台白色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茶样盘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白色塑料或木质，正方形，无异味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柱形杯碗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审评杯：白色瓷质杯呈圆柱形，茶杯呈锯齿形滤茶口，容量150mL。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审评碗：茶碗容量240mL。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一杯一碗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乌龙茶盖碗审评杯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白色瓷质钟形盖碗，盖碗容量110ml；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乌龙茶盖碗审评碗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白色瓷质，容量160ml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一杯三碗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白色瓷质  容量5-6 ml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品茗杯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白色瓷质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网匙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汤碗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白色瓷质，盛放茶匙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叶底盘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（搪瓷）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白色方形搪瓷盘，长方形15×20×3 cm或自定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叶底盘（黑色木质）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黑色叶底盘为正方形，外径：边长100mm，边高15mm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水桶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塑料桶，做吐茶，或自定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塑料盆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盛放审评器具，便于清洗器具，或自定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烧水壶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1.5L 以上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吐茶筒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塑料桶，或自定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托盘天平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感量0.1g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计时器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时钟或自定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2.基本材料清单表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以一个比赛工位为例，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基本材料清单表如下：</w:t>
      </w:r>
    </w:p>
    <w:p>
      <w:pPr>
        <w:pStyle w:val="20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表6 基本材料清单表</w:t>
      </w:r>
    </w:p>
    <w:tbl>
      <w:tblPr>
        <w:tblStyle w:val="1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85"/>
        <w:gridCol w:w="4961"/>
        <w:gridCol w:w="839"/>
        <w:gridCol w:w="829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型号 与 规格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茶巾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规格自定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书写板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A4大小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中性笔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黑色、红色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计算器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自定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自封袋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牛皮纸或铝箔袋 半斤装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自封袋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透明自封袋 3两装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不干胶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贴茶样标签号、贴盘号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凉水杯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塑料，盛装清水，2L左右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3.赛场选手自备的工具清单表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赛场选手自备黑色中性笔。</w:t>
      </w:r>
    </w:p>
    <w:p>
      <w:pPr>
        <w:pStyle w:val="7"/>
        <w:spacing w:before="0"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4.赛场禁止自带使用的设备和材料清单表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参赛选手进入赛场，不允许携带任何书籍和其他纸质资料，不允许携带通讯工具和存储设备。</w:t>
      </w:r>
    </w:p>
    <w:p>
      <w:pPr>
        <w:pStyle w:val="5"/>
        <w:spacing w:before="0" w:after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20" w:name="_Toc2345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五、安全、健康要求</w:t>
      </w:r>
      <w:bookmarkEnd w:id="20"/>
    </w:p>
    <w:p>
      <w:pPr>
        <w:pStyle w:val="3"/>
        <w:ind w:firstLine="643" w:firstLineChars="200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1" w:name="_Toc4065"/>
      <w:r>
        <w:rPr>
          <w:rFonts w:hint="eastAsia" w:ascii="仿宋_GB2312" w:hAnsi="仿宋_GB2312" w:eastAsia="仿宋_GB2312" w:cs="仿宋_GB2312"/>
          <w:b/>
          <w:sz w:val="32"/>
          <w:szCs w:val="32"/>
        </w:rPr>
        <w:t>1.参赛选手必须按照规定穿戴防护装备</w:t>
      </w:r>
      <w:bookmarkEnd w:id="21"/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报到时应持本人身份证，统一穿着比赛服装，并佩戴大赛组委会签发的参赛证（胸牌）。</w:t>
      </w:r>
    </w:p>
    <w:p>
      <w:pPr>
        <w:pStyle w:val="3"/>
        <w:ind w:firstLine="643" w:firstLineChars="200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2" w:name="_Toc1740"/>
      <w:r>
        <w:rPr>
          <w:rFonts w:hint="eastAsia" w:ascii="仿宋_GB2312" w:hAnsi="仿宋_GB2312" w:eastAsia="仿宋_GB2312" w:cs="仿宋_GB2312"/>
          <w:b/>
          <w:sz w:val="32"/>
          <w:szCs w:val="32"/>
        </w:rPr>
        <w:t>2.选手禁止携带易燃易爆物品</w:t>
      </w:r>
      <w:bookmarkEnd w:id="22"/>
    </w:p>
    <w:p>
      <w:pPr>
        <w:pStyle w:val="3"/>
        <w:ind w:firstLine="643" w:firstLineChars="200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3" w:name="_Toc1282"/>
      <w:r>
        <w:rPr>
          <w:rFonts w:hint="eastAsia" w:ascii="仿宋_GB2312" w:hAnsi="仿宋_GB2312" w:eastAsia="仿宋_GB2312" w:cs="仿宋_GB2312"/>
          <w:b/>
          <w:sz w:val="32"/>
          <w:szCs w:val="32"/>
        </w:rPr>
        <w:t>3.赛场通道</w:t>
      </w:r>
      <w:bookmarkEnd w:id="23"/>
    </w:p>
    <w:p>
      <w:pPr>
        <w:pStyle w:val="3"/>
        <w:ind w:firstLine="643" w:firstLineChars="200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4" w:name="_Toc5358"/>
      <w:r>
        <w:rPr>
          <w:rFonts w:hint="eastAsia" w:ascii="仿宋_GB2312" w:hAnsi="仿宋_GB2312" w:eastAsia="仿宋_GB2312" w:cs="仿宋_GB2312"/>
          <w:b/>
          <w:sz w:val="32"/>
          <w:szCs w:val="32"/>
        </w:rPr>
        <w:t>4.赛场医药配备</w:t>
      </w:r>
      <w:bookmarkEnd w:id="24"/>
    </w:p>
    <w:p>
      <w:pPr>
        <w:pStyle w:val="3"/>
        <w:ind w:firstLine="643" w:firstLineChars="200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5" w:name="_Toc27442"/>
      <w:r>
        <w:rPr>
          <w:rFonts w:hint="eastAsia" w:ascii="仿宋_GB2312" w:hAnsi="仿宋_GB2312" w:eastAsia="仿宋_GB2312" w:cs="仿宋_GB2312"/>
          <w:b/>
          <w:sz w:val="32"/>
          <w:szCs w:val="32"/>
        </w:rPr>
        <w:t>5.环境保护</w:t>
      </w:r>
      <w:bookmarkEnd w:id="25"/>
    </w:p>
    <w:p>
      <w:pPr>
        <w:pStyle w:val="3"/>
        <w:ind w:firstLine="643" w:firstLineChars="200"/>
        <w:outlineLvl w:val="1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6" w:name="_Toc9536"/>
      <w:r>
        <w:rPr>
          <w:rFonts w:hint="eastAsia" w:ascii="仿宋_GB2312" w:hAnsi="仿宋_GB2312" w:eastAsia="仿宋_GB2312" w:cs="仿宋_GB2312"/>
          <w:b/>
          <w:sz w:val="32"/>
          <w:szCs w:val="32"/>
        </w:rPr>
        <w:t>6.提倡绿色制造的理念</w:t>
      </w:r>
      <w:bookmarkEnd w:id="26"/>
    </w:p>
    <w:p>
      <w:pPr>
        <w:pStyle w:val="2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utiger LT Com 45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B9FE9"/>
    <w:multiLevelType w:val="singleLevel"/>
    <w:tmpl w:val="A20B9F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03390E"/>
    <w:multiLevelType w:val="multilevel"/>
    <w:tmpl w:val="2403390E"/>
    <w:lvl w:ilvl="0" w:tentative="0">
      <w:start w:val="1"/>
      <w:numFmt w:val="chineseCountingThousand"/>
      <w:pStyle w:val="22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NzQ1OGM2ZTg5MmE1ZDI4NmMzZjM5NDE4NDFlNGYifQ=="/>
  </w:docVars>
  <w:rsids>
    <w:rsidRoot w:val="3A335EB9"/>
    <w:rsid w:val="000354FF"/>
    <w:rsid w:val="000373C1"/>
    <w:rsid w:val="000D2D3B"/>
    <w:rsid w:val="0013305F"/>
    <w:rsid w:val="00221607"/>
    <w:rsid w:val="00283C6C"/>
    <w:rsid w:val="00321849"/>
    <w:rsid w:val="0040665D"/>
    <w:rsid w:val="004254C7"/>
    <w:rsid w:val="00453DE2"/>
    <w:rsid w:val="004B6831"/>
    <w:rsid w:val="00530EF7"/>
    <w:rsid w:val="005909F4"/>
    <w:rsid w:val="006172E2"/>
    <w:rsid w:val="00674FCB"/>
    <w:rsid w:val="00684946"/>
    <w:rsid w:val="00705867"/>
    <w:rsid w:val="00770935"/>
    <w:rsid w:val="007B7FD9"/>
    <w:rsid w:val="00926081"/>
    <w:rsid w:val="009A48F9"/>
    <w:rsid w:val="00A476AA"/>
    <w:rsid w:val="00B14098"/>
    <w:rsid w:val="00B61E5C"/>
    <w:rsid w:val="00B872B1"/>
    <w:rsid w:val="00BF4948"/>
    <w:rsid w:val="00C83A81"/>
    <w:rsid w:val="00CD1798"/>
    <w:rsid w:val="00D13F77"/>
    <w:rsid w:val="00DC57A7"/>
    <w:rsid w:val="00DD43BD"/>
    <w:rsid w:val="00FE61E0"/>
    <w:rsid w:val="019C7378"/>
    <w:rsid w:val="09CD6614"/>
    <w:rsid w:val="1E551BFF"/>
    <w:rsid w:val="210C0F78"/>
    <w:rsid w:val="352775B0"/>
    <w:rsid w:val="39CB461F"/>
    <w:rsid w:val="3A335EB9"/>
    <w:rsid w:val="3ED64D9D"/>
    <w:rsid w:val="4AD67B02"/>
    <w:rsid w:val="58CB04E0"/>
    <w:rsid w:val="593C692B"/>
    <w:rsid w:val="5BC61249"/>
    <w:rsid w:val="76044444"/>
    <w:rsid w:val="78B54921"/>
    <w:rsid w:val="7E4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8">
    <w:name w:val="toc 3"/>
    <w:basedOn w:val="1"/>
    <w:next w:val="1"/>
    <w:qFormat/>
    <w:uiPriority w:val="39"/>
    <w:pPr>
      <w:widowControl/>
      <w:spacing w:line="256" w:lineRule="auto"/>
      <w:contextualSpacing/>
    </w:pPr>
    <w:rPr>
      <w:rFonts w:ascii="Frutiger LT Com 45 Light" w:hAnsi="Frutiger LT Com 45 Light"/>
      <w:i/>
      <w:kern w:val="0"/>
      <w:sz w:val="18"/>
      <w:szCs w:val="22"/>
      <w:lang w:val="en-GB" w:eastAsia="en-US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qFormat/>
    <w:uiPriority w:val="0"/>
    <w:rPr>
      <w:sz w:val="24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7">
    <w:name w:val="Hyperlink"/>
    <w:qFormat/>
    <w:uiPriority w:val="99"/>
    <w:rPr>
      <w:rFonts w:ascii="Calibri" w:hAnsi="Calibri" w:eastAsia="宋体" w:cs="Times New Roman"/>
      <w:color w:val="0000FF"/>
      <w:u w:val="single"/>
    </w:rPr>
  </w:style>
  <w:style w:type="character" w:customStyle="1" w:styleId="18">
    <w:name w:val="标题 2 字符"/>
    <w:link w:val="5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标题 1 字符"/>
    <w:link w:val="4"/>
    <w:qFormat/>
    <w:uiPriority w:val="0"/>
    <w:rPr>
      <w:b/>
      <w:kern w:val="44"/>
      <w:sz w:val="44"/>
    </w:rPr>
  </w:style>
  <w:style w:type="paragraph" w:customStyle="1" w:styleId="20">
    <w:name w:val="公正文"/>
    <w:basedOn w:val="13"/>
    <w:qFormat/>
    <w:uiPriority w:val="0"/>
    <w:pPr>
      <w:widowControl/>
      <w:shd w:val="clear" w:color="auto" w:fill="FFFFFF"/>
      <w:wordWrap w:val="0"/>
      <w:topLinePunct/>
      <w:spacing w:line="560" w:lineRule="exact"/>
      <w:ind w:firstLine="200" w:firstLineChars="200"/>
    </w:pPr>
    <w:rPr>
      <w:rFonts w:ascii="仿宋" w:hAnsi="仿宋" w:eastAsia="仿宋" w:cs="宋体"/>
      <w:color w:val="000000"/>
      <w:kern w:val="0"/>
      <w:sz w:val="32"/>
      <w:szCs w:val="32"/>
    </w:rPr>
  </w:style>
  <w:style w:type="paragraph" w:customStyle="1" w:styleId="21">
    <w:name w:val="公标3"/>
    <w:basedOn w:val="13"/>
    <w:qFormat/>
    <w:uiPriority w:val="0"/>
    <w:pPr>
      <w:widowControl/>
      <w:shd w:val="clear" w:color="auto" w:fill="FFFFFF"/>
      <w:spacing w:line="560" w:lineRule="exact"/>
      <w:ind w:firstLine="630" w:firstLineChars="196"/>
      <w:textAlignment w:val="baseline"/>
      <w:outlineLvl w:val="2"/>
    </w:pPr>
    <w:rPr>
      <w:rFonts w:ascii="仿宋" w:hAnsi="仿宋" w:eastAsia="仿宋" w:cs="宋体"/>
      <w:b/>
      <w:bCs/>
      <w:color w:val="000000"/>
      <w:kern w:val="0"/>
      <w:sz w:val="32"/>
      <w:szCs w:val="32"/>
    </w:rPr>
  </w:style>
  <w:style w:type="paragraph" w:customStyle="1" w:styleId="22">
    <w:name w:val="公标2"/>
    <w:basedOn w:val="1"/>
    <w:uiPriority w:val="0"/>
    <w:pPr>
      <w:numPr>
        <w:ilvl w:val="0"/>
        <w:numId w:val="1"/>
      </w:numPr>
      <w:adjustRightInd w:val="0"/>
      <w:snapToGrid w:val="0"/>
      <w:spacing w:line="560" w:lineRule="exact"/>
      <w:jc w:val="left"/>
      <w:outlineLvl w:val="1"/>
    </w:pPr>
    <w:rPr>
      <w:rFonts w:ascii="方正小标宋简体" w:hAnsi="黑体" w:eastAsia="黑体"/>
      <w:color w:val="000000"/>
      <w:sz w:val="32"/>
      <w:szCs w:val="44"/>
    </w:rPr>
  </w:style>
  <w:style w:type="paragraph" w:customStyle="1" w:styleId="23">
    <w:name w:val="表格1--表头"/>
    <w:next w:val="1"/>
    <w:qFormat/>
    <w:uiPriority w:val="0"/>
    <w:pPr>
      <w:widowControl w:val="0"/>
      <w:spacing w:line="592" w:lineRule="exact"/>
      <w:jc w:val="center"/>
    </w:pPr>
    <w:rPr>
      <w:rFonts w:ascii="仿宋" w:hAnsi="仿宋" w:eastAsia="方正小标宋简体" w:cs="Times New Roman"/>
      <w:lang w:val="en-US" w:eastAsia="zh-CN" w:bidi="ar-SA"/>
    </w:rPr>
  </w:style>
  <w:style w:type="paragraph" w:customStyle="1" w:styleId="24">
    <w:name w:val="表格2-表内正文"/>
    <w:qFormat/>
    <w:uiPriority w:val="0"/>
    <w:pPr>
      <w:widowControl w:val="0"/>
      <w:spacing w:line="400" w:lineRule="exact"/>
      <w:jc w:val="center"/>
    </w:pPr>
    <w:rPr>
      <w:rFonts w:ascii="仿宋" w:hAnsi="仿宋" w:eastAsia="仿宋" w:cs="Times New Roman"/>
      <w:kern w:val="2"/>
      <w:sz w:val="24"/>
      <w:szCs w:val="28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7971</Words>
  <Characters>8443</Characters>
  <Lines>74</Lines>
  <Paragraphs>20</Paragraphs>
  <TotalTime>3</TotalTime>
  <ScaleCrop>false</ScaleCrop>
  <LinksUpToDate>false</LinksUpToDate>
  <CharactersWithSpaces>8563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2022-05-30T19:56:00Z</dcterms:created>
  <dc:creator>Administrator</dc:creator>
  <cp:lastModifiedBy>Administrator</cp:lastModifiedBy>
  <cp:lastPrinted>2022-06-21T07:45:00Z</cp:lastPrinted>
  <dcterms:modified xsi:type="dcterms:W3CDTF">2022-06-28T00:25:56Z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FD22508B395E4263A304FF35CDD59A5D</vt:lpwstr>
  </property>
</Properties>
</file>